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D917" w14:textId="3660A792" w:rsidR="00D47AA8" w:rsidRPr="006477B2" w:rsidRDefault="006477B2" w:rsidP="00D47AA8">
      <w:pPr>
        <w:pStyle w:val="Heading2"/>
        <w:numPr>
          <w:ilvl w:val="0"/>
          <w:numId w:val="0"/>
        </w:numPr>
        <w:ind w:left="454" w:hanging="454"/>
        <w:rPr>
          <w:rFonts w:ascii="Titillium" w:hAnsi="Titillium"/>
          <w:color w:val="0070C0"/>
          <w:sz w:val="32"/>
          <w:szCs w:val="32"/>
          <w:lang w:val="en-GB"/>
        </w:rPr>
      </w:pPr>
      <w:bookmarkStart w:id="0" w:name="_Toc74328402"/>
      <w:r w:rsidRPr="006477B2">
        <w:rPr>
          <w:rFonts w:ascii="Titillium" w:hAnsi="Titillium"/>
          <w:color w:val="0070C0"/>
          <w:sz w:val="32"/>
          <w:szCs w:val="32"/>
          <w:lang w:val="en-GB"/>
        </w:rPr>
        <w:t>Call for Proposals: RIS EduEx 2021</w:t>
      </w:r>
    </w:p>
    <w:p w14:paraId="2C191605" w14:textId="77777777" w:rsidR="006477B2" w:rsidRDefault="006477B2" w:rsidP="00D47AA8">
      <w:pPr>
        <w:pStyle w:val="Heading2"/>
        <w:numPr>
          <w:ilvl w:val="0"/>
          <w:numId w:val="0"/>
        </w:numPr>
        <w:ind w:left="454" w:hanging="454"/>
        <w:rPr>
          <w:rFonts w:ascii="Titillium" w:hAnsi="Titillium"/>
          <w:color w:val="0070C0"/>
          <w:sz w:val="24"/>
          <w:szCs w:val="24"/>
          <w:lang w:val="en-GB"/>
        </w:rPr>
      </w:pPr>
    </w:p>
    <w:p w14:paraId="4D012C52" w14:textId="00A098F8" w:rsidR="00D47AA8" w:rsidRPr="006477B2" w:rsidRDefault="00D47AA8" w:rsidP="00D47AA8">
      <w:pPr>
        <w:pStyle w:val="Heading2"/>
        <w:numPr>
          <w:ilvl w:val="0"/>
          <w:numId w:val="0"/>
        </w:numPr>
        <w:ind w:left="454" w:hanging="454"/>
        <w:rPr>
          <w:rFonts w:ascii="Titillium" w:hAnsi="Titillium"/>
          <w:b/>
          <w:bCs/>
          <w:color w:val="0070C0"/>
          <w:sz w:val="32"/>
          <w:szCs w:val="32"/>
          <w:lang w:val="en-GB"/>
        </w:rPr>
      </w:pPr>
      <w:r w:rsidRPr="006477B2">
        <w:rPr>
          <w:rFonts w:ascii="Titillium" w:hAnsi="Titillium"/>
          <w:b/>
          <w:bCs/>
          <w:color w:val="0070C0"/>
          <w:sz w:val="32"/>
          <w:szCs w:val="32"/>
          <w:lang w:val="en-GB"/>
        </w:rPr>
        <w:t>Proposal Form</w:t>
      </w:r>
      <w:bookmarkEnd w:id="0"/>
      <w:r w:rsidRPr="006477B2">
        <w:rPr>
          <w:rFonts w:ascii="Titillium" w:hAnsi="Titillium"/>
          <w:b/>
          <w:bCs/>
          <w:color w:val="0070C0"/>
          <w:sz w:val="32"/>
          <w:szCs w:val="32"/>
          <w:lang w:val="en-GB"/>
        </w:rPr>
        <w:t xml:space="preserve"> </w:t>
      </w:r>
    </w:p>
    <w:p w14:paraId="410E12E4" w14:textId="77777777" w:rsidR="00D47AA8" w:rsidRPr="00D60B12" w:rsidRDefault="00D47AA8" w:rsidP="00D47AA8">
      <w:pPr>
        <w:pStyle w:val="BodyText"/>
        <w:spacing w:before="8"/>
        <w:rPr>
          <w:rFonts w:ascii="Titillium" w:hAnsi="Titillium"/>
          <w:sz w:val="30"/>
          <w:lang w:val="en-GB"/>
        </w:rPr>
      </w:pPr>
    </w:p>
    <w:p w14:paraId="53F78B25" w14:textId="55057DDE" w:rsidR="00D47AA8" w:rsidRDefault="00D47AA8" w:rsidP="00D47AA8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  <w:r w:rsidRPr="00F221F8">
        <w:rPr>
          <w:rFonts w:ascii="Titillium" w:hAnsi="Titillium"/>
          <w:i/>
          <w:sz w:val="20"/>
          <w:szCs w:val="20"/>
          <w:lang w:val="en-GB"/>
        </w:rPr>
        <w:t xml:space="preserve">Please fill in this Proposal Form to apply for RIS EduEx 2021, keeping in mind the </w:t>
      </w:r>
      <w:r>
        <w:rPr>
          <w:rFonts w:ascii="Titillium" w:hAnsi="Titillium"/>
          <w:i/>
          <w:sz w:val="20"/>
          <w:szCs w:val="20"/>
          <w:lang w:val="en-GB"/>
        </w:rPr>
        <w:t>information provided</w:t>
      </w:r>
      <w:r w:rsidRPr="00F221F8">
        <w:rPr>
          <w:rFonts w:ascii="Titillium" w:hAnsi="Titillium"/>
          <w:i/>
          <w:sz w:val="20"/>
          <w:szCs w:val="20"/>
          <w:lang w:val="en-GB"/>
        </w:rPr>
        <w:t xml:space="preserve"> </w:t>
      </w:r>
      <w:r>
        <w:rPr>
          <w:rFonts w:ascii="Titillium" w:hAnsi="Titillium"/>
          <w:i/>
          <w:sz w:val="20"/>
          <w:szCs w:val="20"/>
          <w:lang w:val="en-GB"/>
        </w:rPr>
        <w:t xml:space="preserve">in </w:t>
      </w:r>
      <w:r w:rsidRPr="00F221F8">
        <w:rPr>
          <w:rFonts w:ascii="Titillium" w:hAnsi="Titillium"/>
          <w:i/>
          <w:sz w:val="20"/>
          <w:szCs w:val="20"/>
          <w:lang w:val="en-GB"/>
        </w:rPr>
        <w:t xml:space="preserve">the </w:t>
      </w:r>
      <w:r w:rsidRPr="009C7C6E">
        <w:rPr>
          <w:rFonts w:ascii="Titillium" w:hAnsi="Titillium"/>
          <w:i/>
          <w:sz w:val="20"/>
          <w:szCs w:val="20"/>
          <w:lang w:val="en-GB"/>
        </w:rPr>
        <w:t>Assessment and Selection Process starting on p. 1</w:t>
      </w:r>
      <w:r w:rsidR="00244D27">
        <w:rPr>
          <w:rFonts w:ascii="Titillium" w:hAnsi="Titillium"/>
          <w:i/>
          <w:sz w:val="20"/>
          <w:szCs w:val="20"/>
          <w:lang w:val="en-GB"/>
        </w:rPr>
        <w:t>4</w:t>
      </w:r>
      <w:r>
        <w:rPr>
          <w:rFonts w:ascii="Titillium" w:hAnsi="Titillium"/>
          <w:i/>
          <w:sz w:val="20"/>
          <w:szCs w:val="20"/>
          <w:lang w:val="en-GB"/>
        </w:rPr>
        <w:t xml:space="preserve"> in the Call for Proposals document</w:t>
      </w:r>
      <w:r w:rsidRPr="009C7C6E">
        <w:rPr>
          <w:rFonts w:ascii="Titillium" w:hAnsi="Titillium"/>
          <w:i/>
          <w:sz w:val="20"/>
          <w:szCs w:val="20"/>
          <w:lang w:val="en-GB"/>
        </w:rPr>
        <w:t xml:space="preserve">.  </w:t>
      </w:r>
      <w:r>
        <w:rPr>
          <w:rFonts w:ascii="Titillium" w:hAnsi="Titillium"/>
          <w:i/>
          <w:sz w:val="20"/>
          <w:szCs w:val="20"/>
          <w:lang w:val="en-GB"/>
        </w:rPr>
        <w:t xml:space="preserve"> </w:t>
      </w:r>
    </w:p>
    <w:p w14:paraId="1606F943" w14:textId="24954207" w:rsidR="000D3D0A" w:rsidRDefault="000D3D0A" w:rsidP="00D47AA8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</w:p>
    <w:p w14:paraId="71D09C36" w14:textId="13E0F73C" w:rsidR="000D3D0A" w:rsidRDefault="000D3D0A" w:rsidP="000D3D0A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  <w:r w:rsidRPr="000D3D0A">
        <w:rPr>
          <w:rFonts w:ascii="Titillium" w:hAnsi="Titillium"/>
          <w:i/>
          <w:sz w:val="20"/>
          <w:szCs w:val="20"/>
          <w:lang w:val="en-GB"/>
        </w:rPr>
        <w:t>Proposals can be submitted at any time from the launch of the call until 11 July 2021 00:00 CEST as indicated in the Proposal Application Timeline section on p.1</w:t>
      </w:r>
      <w:r w:rsidR="00E43899">
        <w:rPr>
          <w:rFonts w:ascii="Titillium" w:hAnsi="Titillium"/>
          <w:i/>
          <w:sz w:val="20"/>
          <w:szCs w:val="20"/>
          <w:lang w:val="en-GB"/>
        </w:rPr>
        <w:t>3</w:t>
      </w:r>
      <w:r w:rsidRPr="000D3D0A">
        <w:rPr>
          <w:rFonts w:ascii="Titillium" w:hAnsi="Titillium"/>
          <w:i/>
          <w:sz w:val="20"/>
          <w:szCs w:val="20"/>
          <w:lang w:val="en-GB"/>
        </w:rPr>
        <w:t xml:space="preserve"> of </w:t>
      </w:r>
      <w:r>
        <w:rPr>
          <w:rFonts w:ascii="Titillium" w:hAnsi="Titillium"/>
          <w:i/>
          <w:sz w:val="20"/>
          <w:szCs w:val="20"/>
          <w:lang w:val="en-GB"/>
        </w:rPr>
        <w:t>the Call</w:t>
      </w:r>
      <w:r w:rsidRPr="000D3D0A">
        <w:rPr>
          <w:rFonts w:ascii="Titillium" w:hAnsi="Titillium"/>
          <w:i/>
          <w:sz w:val="20"/>
          <w:szCs w:val="20"/>
          <w:lang w:val="en-GB"/>
        </w:rPr>
        <w:t xml:space="preserve"> document. </w:t>
      </w:r>
    </w:p>
    <w:p w14:paraId="711B7362" w14:textId="77777777" w:rsidR="000D3D0A" w:rsidRPr="000D3D0A" w:rsidRDefault="000D3D0A" w:rsidP="000D3D0A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</w:p>
    <w:p w14:paraId="6B05AD0A" w14:textId="0552945F" w:rsidR="000D3D0A" w:rsidRDefault="000D3D0A" w:rsidP="000D3D0A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  <w:r w:rsidRPr="000D3D0A">
        <w:rPr>
          <w:rFonts w:ascii="Titillium" w:hAnsi="Titillium"/>
          <w:i/>
          <w:sz w:val="20"/>
          <w:szCs w:val="20"/>
          <w:lang w:val="en-GB"/>
        </w:rPr>
        <w:t xml:space="preserve">All applications must be submitted via email to </w:t>
      </w:r>
      <w:hyperlink r:id="rId10" w:history="1">
        <w:r w:rsidRPr="00D32C0F">
          <w:rPr>
            <w:rStyle w:val="Hyperlink"/>
            <w:rFonts w:ascii="Titillium" w:hAnsi="Titillium"/>
            <w:i/>
            <w:sz w:val="20"/>
            <w:szCs w:val="20"/>
            <w:lang w:val="en-GB"/>
          </w:rPr>
          <w:t>eduex@climate-kic.org</w:t>
        </w:r>
      </w:hyperlink>
      <w:r>
        <w:rPr>
          <w:rFonts w:ascii="Titillium" w:hAnsi="Titillium"/>
          <w:i/>
          <w:sz w:val="20"/>
          <w:szCs w:val="20"/>
          <w:lang w:val="en-GB"/>
        </w:rPr>
        <w:t xml:space="preserve">. </w:t>
      </w:r>
      <w:r w:rsidRPr="000D3D0A">
        <w:rPr>
          <w:rFonts w:ascii="Titillium" w:hAnsi="Titillium"/>
          <w:i/>
          <w:sz w:val="20"/>
          <w:szCs w:val="20"/>
          <w:lang w:val="en-GB"/>
        </w:rPr>
        <w:t xml:space="preserve"> Please indicate in </w:t>
      </w:r>
      <w:r>
        <w:rPr>
          <w:rFonts w:ascii="Titillium" w:hAnsi="Titillium"/>
          <w:i/>
          <w:sz w:val="20"/>
          <w:szCs w:val="20"/>
          <w:lang w:val="en-GB"/>
        </w:rPr>
        <w:t xml:space="preserve">the </w:t>
      </w:r>
      <w:r w:rsidRPr="000D3D0A">
        <w:rPr>
          <w:rFonts w:ascii="Titillium" w:hAnsi="Titillium"/>
          <w:i/>
          <w:sz w:val="20"/>
          <w:szCs w:val="20"/>
          <w:lang w:val="en-GB"/>
        </w:rPr>
        <w:t>email subject line the name of the experiment and your organisation name, following this example format: “EduEx proposal [name of experiment] by [name of organisation]”.</w:t>
      </w:r>
    </w:p>
    <w:p w14:paraId="63556F34" w14:textId="77777777" w:rsidR="000D3D0A" w:rsidRPr="000D3D0A" w:rsidRDefault="000D3D0A" w:rsidP="000D3D0A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</w:p>
    <w:p w14:paraId="0D12D359" w14:textId="53CC485A" w:rsidR="000D3D0A" w:rsidRPr="00F221F8" w:rsidRDefault="000D3D0A" w:rsidP="000D3D0A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  <w:r w:rsidRPr="000D3D0A">
        <w:rPr>
          <w:rFonts w:ascii="Titillium" w:hAnsi="Titillium"/>
          <w:i/>
          <w:sz w:val="20"/>
          <w:szCs w:val="20"/>
          <w:lang w:val="en-GB"/>
        </w:rPr>
        <w:t>Please note: No extensions to the deadline will be granted. Any changes to the proposal requested by the applicant after submission will not be allowed.</w:t>
      </w:r>
    </w:p>
    <w:p w14:paraId="5AA1EDDF" w14:textId="77777777" w:rsidR="00D47AA8" w:rsidRPr="00F221F8" w:rsidRDefault="00D47AA8" w:rsidP="00D47AA8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i/>
          <w:sz w:val="20"/>
          <w:szCs w:val="20"/>
          <w:lang w:val="en-GB"/>
        </w:rPr>
      </w:pPr>
    </w:p>
    <w:p w14:paraId="112F5F47" w14:textId="77777777" w:rsidR="00D47AA8" w:rsidRPr="00F221F8" w:rsidRDefault="00D47AA8" w:rsidP="00D47AA8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b/>
          <w:sz w:val="20"/>
          <w:szCs w:val="20"/>
          <w:lang w:val="en-GB"/>
        </w:rPr>
      </w:pPr>
      <w:r w:rsidRPr="00F221F8">
        <w:rPr>
          <w:rFonts w:ascii="Titillium" w:hAnsi="Titillium"/>
          <w:b/>
          <w:i/>
          <w:sz w:val="20"/>
          <w:szCs w:val="20"/>
          <w:lang w:val="en-GB"/>
        </w:rPr>
        <w:t>Please limit your response in each section to 250 words.</w:t>
      </w:r>
    </w:p>
    <w:p w14:paraId="6166E369" w14:textId="77777777" w:rsidR="00D47AA8" w:rsidRPr="00F221F8" w:rsidRDefault="00D47AA8" w:rsidP="00D47AA8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sz w:val="20"/>
          <w:szCs w:val="20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4961"/>
      </w:tblGrid>
      <w:tr w:rsidR="008F7A70" w:rsidRPr="00D60B12" w14:paraId="5E6B53C3" w14:textId="77777777" w:rsidTr="00C56B2C">
        <w:tc>
          <w:tcPr>
            <w:tcW w:w="562" w:type="dxa"/>
          </w:tcPr>
          <w:p w14:paraId="0842DB18" w14:textId="50405BFB" w:rsidR="008F7A70" w:rsidRPr="00F221F8" w:rsidRDefault="008F7A70" w:rsidP="000F33B3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  <w:r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</w:tcPr>
          <w:p w14:paraId="42AE328F" w14:textId="77777777" w:rsidR="009772E2" w:rsidRDefault="008F7A70" w:rsidP="00313831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  <w:r w:rsidRPr="00F221F8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>O</w:t>
            </w:r>
            <w:r w:rsidR="00313831" w:rsidRPr="00F221F8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 xml:space="preserve">nly those entities located in an </w:t>
            </w:r>
            <w:hyperlink r:id="rId11" w:history="1">
              <w:r w:rsidR="00313831" w:rsidRPr="00BD3EC3">
                <w:rPr>
                  <w:rStyle w:val="Hyperlink"/>
                  <w:rFonts w:ascii="Titillium" w:eastAsiaTheme="minorHAnsi" w:hAnsi="Titillium" w:cstheme="minorBidi"/>
                  <w:sz w:val="20"/>
                  <w:szCs w:val="20"/>
                  <w:lang w:val="en-GB"/>
                </w:rPr>
                <w:t>EIT RIS</w:t>
              </w:r>
            </w:hyperlink>
            <w:r w:rsidR="00313831" w:rsidRPr="00F221F8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 xml:space="preserve"> country are eligible for RIS EduEx 2021. Can you confirm (</w:t>
            </w:r>
            <w:r w:rsidR="009772E2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>Y/N</w:t>
            </w:r>
            <w:r w:rsidR="00313831" w:rsidRPr="00F221F8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 xml:space="preserve">) that the organisation responsible for the proposal is based in one or more of the below countries? </w:t>
            </w:r>
          </w:p>
          <w:p w14:paraId="51AFBA5B" w14:textId="77777777" w:rsidR="009772E2" w:rsidRDefault="009772E2" w:rsidP="00313831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</w:p>
          <w:p w14:paraId="3B7042B4" w14:textId="2FD67769" w:rsidR="00313831" w:rsidRPr="00F221F8" w:rsidRDefault="00313831" w:rsidP="00313831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  <w:r w:rsidRPr="00F221F8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>Please note that if you answer no, the proposal is not valid and you should discontinue the application.</w:t>
            </w:r>
          </w:p>
          <w:p w14:paraId="5CBBD7F1" w14:textId="77777777" w:rsidR="00313831" w:rsidRPr="00F221F8" w:rsidRDefault="00313831" w:rsidP="00313831">
            <w:p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</w:p>
          <w:p w14:paraId="2D582F9D" w14:textId="77777777" w:rsidR="00313831" w:rsidRPr="00276A56" w:rsidRDefault="00313831" w:rsidP="00313831">
            <w:p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  <w:r w:rsidRPr="00276A56"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  <w:t>Countries eligible to take part in the EIT RIS (2021-2024):</w:t>
            </w:r>
          </w:p>
          <w:p w14:paraId="2B276591" w14:textId="77777777" w:rsidR="00313831" w:rsidRPr="00276A56" w:rsidRDefault="00313831" w:rsidP="00313831">
            <w:p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</w:p>
          <w:p w14:paraId="217022C0" w14:textId="77777777" w:rsidR="00313831" w:rsidRPr="00276A56" w:rsidRDefault="00313831" w:rsidP="00313831">
            <w:pPr>
              <w:pStyle w:val="ListParagraph"/>
              <w:numPr>
                <w:ilvl w:val="0"/>
                <w:numId w:val="4"/>
              </w:num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  <w:r w:rsidRPr="00276A56"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  <w:t xml:space="preserve">EU Member States: Bulgaria, Croatia, Cyprus, Czech Republic, Estonia, Greece, Hungary, Italy, Latvia, Lithuania, Malta, Poland, Portugal, Romania, Slovakia, Slovenia, Spain.  </w:t>
            </w:r>
          </w:p>
          <w:p w14:paraId="65F1E6A1" w14:textId="77777777" w:rsidR="00313831" w:rsidRPr="00276A56" w:rsidRDefault="00313831" w:rsidP="00313831">
            <w:pPr>
              <w:pStyle w:val="ListParagraph"/>
              <w:numPr>
                <w:ilvl w:val="0"/>
                <w:numId w:val="4"/>
              </w:num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  <w:r w:rsidRPr="00276A56"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  <w:t xml:space="preserve">Horizon Europe Associated Countries*: Montenegro, Republic of North Macedonia, Serbia, Turkey, Ukraine. </w:t>
            </w:r>
          </w:p>
          <w:p w14:paraId="0C29A840" w14:textId="77777777" w:rsidR="00313831" w:rsidRPr="00276A56" w:rsidRDefault="00313831" w:rsidP="00313831">
            <w:pPr>
              <w:pStyle w:val="ListParagraph"/>
              <w:numPr>
                <w:ilvl w:val="0"/>
                <w:numId w:val="4"/>
              </w:num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  <w:r w:rsidRPr="00276A56"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  <w:lastRenderedPageBreak/>
              <w:t>Outermost Regions: Guadeloupe, French Guiana, Réunion, Martinique, Mayotte and Saint-Martin (France), the Azores and Madeira (Portugal), and the Canary Islands (Spain).</w:t>
            </w:r>
          </w:p>
          <w:p w14:paraId="35285918" w14:textId="77777777" w:rsidR="00313831" w:rsidRPr="00276A56" w:rsidRDefault="00313831" w:rsidP="00313831">
            <w:pPr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</w:pPr>
          </w:p>
          <w:p w14:paraId="67EED03F" w14:textId="77777777" w:rsidR="00313831" w:rsidRPr="00276A56" w:rsidRDefault="00313831" w:rsidP="00313831">
            <w:pPr>
              <w:widowControl w:val="0"/>
              <w:autoSpaceDE w:val="0"/>
              <w:autoSpaceDN w:val="0"/>
              <w:spacing w:before="8"/>
              <w:rPr>
                <w:rFonts w:ascii="Titillium" w:eastAsia="Times New Roman" w:hAnsi="Titillium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276A56">
              <w:rPr>
                <w:rFonts w:ascii="Titillium" w:eastAsia="Times New Roman" w:hAnsi="Titillium" w:cs="Times New Roman"/>
                <w:sz w:val="20"/>
                <w:szCs w:val="20"/>
                <w:lang w:val="en-GB" w:eastAsia="en-GB"/>
              </w:rPr>
              <w:t>*</w:t>
            </w:r>
            <w:r w:rsidRPr="00276A56">
              <w:rPr>
                <w:rFonts w:ascii="Titillium" w:eastAsia="Times New Roman" w:hAnsi="Titillium" w:cs="Times New Roman"/>
                <w:i/>
                <w:iCs/>
                <w:sz w:val="20"/>
                <w:szCs w:val="20"/>
                <w:lang w:val="en-GB" w:eastAsia="en-GB"/>
              </w:rPr>
              <w:t>These third countries, which are all listed in the European Innovation Scoreboard, will be eligible for the EIT RIS, following the successful conclusion of individual Horizon Europe Association Agreements</w:t>
            </w:r>
            <w:r>
              <w:rPr>
                <w:rFonts w:ascii="Titillium" w:eastAsia="Times New Roman" w:hAnsi="Titillium" w:cs="Times New Roman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276A56">
              <w:rPr>
                <w:rFonts w:ascii="Titillium" w:eastAsia="Times New Roman" w:hAnsi="Titillium" w:cs="Times New Roman"/>
                <w:i/>
                <w:iCs/>
                <w:sz w:val="20"/>
                <w:szCs w:val="20"/>
                <w:lang w:val="en-GB" w:eastAsia="en-GB"/>
              </w:rPr>
              <w:t>by 31 December 2021.</w:t>
            </w:r>
          </w:p>
          <w:p w14:paraId="267FCF9C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i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104C692B" w14:textId="76C2887F" w:rsidR="008F7A70" w:rsidRPr="009C7C6E" w:rsidRDefault="002700CB" w:rsidP="000F33B3">
            <w:pPr>
              <w:pStyle w:val="FootnoteText"/>
              <w:widowControl w:val="0"/>
              <w:autoSpaceDE w:val="0"/>
              <w:autoSpaceDN w:val="0"/>
              <w:spacing w:before="8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lastRenderedPageBreak/>
              <w:t>Yes/No</w:t>
            </w:r>
          </w:p>
        </w:tc>
      </w:tr>
      <w:tr w:rsidR="008F7A70" w:rsidRPr="00D60B12" w14:paraId="4D1CFC0B" w14:textId="77777777" w:rsidTr="00C56B2C">
        <w:tc>
          <w:tcPr>
            <w:tcW w:w="562" w:type="dxa"/>
          </w:tcPr>
          <w:p w14:paraId="58CB9A57" w14:textId="50157B02" w:rsidR="008F7A70" w:rsidRPr="00F221F8" w:rsidRDefault="008F7A70" w:rsidP="000F33B3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  <w:r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</w:tcPr>
          <w:p w14:paraId="56794212" w14:textId="5C0C031C" w:rsidR="008F7A70" w:rsidRPr="00F221F8" w:rsidRDefault="008F7A70" w:rsidP="000F33B3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  <w:r w:rsidRPr="00F221F8"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  <w:t>Please provide your contact details:</w:t>
            </w:r>
          </w:p>
          <w:p w14:paraId="04E88B67" w14:textId="77777777" w:rsidR="008F7A70" w:rsidRPr="00F221F8" w:rsidRDefault="008F7A70" w:rsidP="000F33B3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</w:p>
          <w:p w14:paraId="6838A03E" w14:textId="77777777" w:rsidR="008F7A70" w:rsidRPr="00F221F8" w:rsidRDefault="008F7A70" w:rsidP="00D47A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Contact person full name</w:t>
            </w:r>
          </w:p>
          <w:p w14:paraId="5F6862B5" w14:textId="77777777" w:rsidR="008F7A70" w:rsidRPr="00F221F8" w:rsidRDefault="008F7A70" w:rsidP="00D47A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Contact person email</w:t>
            </w:r>
          </w:p>
          <w:p w14:paraId="429FA115" w14:textId="77777777" w:rsidR="008F7A70" w:rsidRPr="00F221F8" w:rsidRDefault="008F7A70" w:rsidP="00D47A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Name of your organisation</w:t>
            </w:r>
          </w:p>
          <w:p w14:paraId="00F3689E" w14:textId="77777777" w:rsidR="008F7A70" w:rsidRPr="00F221F8" w:rsidRDefault="008F7A70" w:rsidP="00D47A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Organisation city and country</w:t>
            </w:r>
          </w:p>
          <w:p w14:paraId="15011B8A" w14:textId="77777777" w:rsidR="008F7A70" w:rsidRPr="00F221F8" w:rsidRDefault="008F7A70" w:rsidP="00D47A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Type of organisation (</w:t>
            </w:r>
            <w:proofErr w:type="spellStart"/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ie</w:t>
            </w:r>
            <w:proofErr w:type="spellEnd"/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 xml:space="preserve">. NGO, consultancy, etc)  </w:t>
            </w:r>
          </w:p>
          <w:p w14:paraId="668A4211" w14:textId="77777777" w:rsidR="008F7A70" w:rsidRPr="00F221F8" w:rsidRDefault="008F7A70" w:rsidP="00D47A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Organisation’s website</w:t>
            </w:r>
          </w:p>
          <w:p w14:paraId="61156FB6" w14:textId="77777777" w:rsidR="008F7A70" w:rsidRPr="00F221F8" w:rsidRDefault="008F7A70" w:rsidP="000F33B3">
            <w:pPr>
              <w:pStyle w:val="ListParagraph"/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618BC1DD" w14:textId="77777777" w:rsidR="008F7A70" w:rsidRDefault="008F7A70" w:rsidP="007209AC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15C5A502" w14:textId="77777777" w:rsidR="008D2E23" w:rsidRDefault="008D2E23" w:rsidP="007209AC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75C1FA65" w14:textId="2AD35B74" w:rsidR="008D2E23" w:rsidRDefault="008D2E23" w:rsidP="007209AC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Name: _____________________</w:t>
            </w:r>
          </w:p>
          <w:p w14:paraId="5313E978" w14:textId="5C0C1AA5" w:rsidR="008D2E23" w:rsidRDefault="008D2E23" w:rsidP="007209AC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Email: _____________________</w:t>
            </w:r>
          </w:p>
          <w:p w14:paraId="3DF0836D" w14:textId="07AEE822" w:rsidR="008D2E23" w:rsidRDefault="008D2E23" w:rsidP="008D2E2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Org</w:t>
            </w:r>
            <w:r w:rsidR="006B6034">
              <w:rPr>
                <w:rFonts w:ascii="Titillium" w:hAnsi="Titillium"/>
                <w:sz w:val="20"/>
                <w:szCs w:val="20"/>
                <w:lang w:val="en-GB"/>
              </w:rPr>
              <w:t xml:space="preserve">. name: 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>__________________</w:t>
            </w:r>
          </w:p>
          <w:p w14:paraId="14C8F01A" w14:textId="0353EF5A" w:rsidR="008D2E23" w:rsidRDefault="006B6034" w:rsidP="008D2E2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City, country:  </w:t>
            </w:r>
            <w:r w:rsidR="008D2E23">
              <w:rPr>
                <w:rFonts w:ascii="Titillium" w:hAnsi="Titillium"/>
                <w:sz w:val="20"/>
                <w:szCs w:val="20"/>
                <w:lang w:val="en-GB"/>
              </w:rPr>
              <w:t>________________</w:t>
            </w:r>
          </w:p>
          <w:p w14:paraId="7BAFE098" w14:textId="53B4C72D" w:rsidR="008D2E23" w:rsidRDefault="006B6034" w:rsidP="008D2E2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Org type: </w:t>
            </w:r>
            <w:r w:rsidR="008D2E23">
              <w:rPr>
                <w:rFonts w:ascii="Titillium" w:hAnsi="Titillium"/>
                <w:sz w:val="20"/>
                <w:szCs w:val="20"/>
                <w:lang w:val="en-GB"/>
              </w:rPr>
              <w:t>______________________</w:t>
            </w:r>
          </w:p>
          <w:p w14:paraId="0E6B8012" w14:textId="51942C5B" w:rsidR="008D2E23" w:rsidRPr="007209AC" w:rsidRDefault="006B6034" w:rsidP="008D2E2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Website: </w:t>
            </w:r>
            <w:r w:rsidR="008D2E23">
              <w:rPr>
                <w:rFonts w:ascii="Titillium" w:hAnsi="Titillium"/>
                <w:sz w:val="20"/>
                <w:szCs w:val="20"/>
                <w:lang w:val="en-GB"/>
              </w:rPr>
              <w:t>______________________</w:t>
            </w:r>
          </w:p>
        </w:tc>
      </w:tr>
      <w:tr w:rsidR="008F7A70" w:rsidRPr="00261BCC" w14:paraId="129F5EBB" w14:textId="77777777" w:rsidTr="00C56B2C">
        <w:tc>
          <w:tcPr>
            <w:tcW w:w="562" w:type="dxa"/>
          </w:tcPr>
          <w:p w14:paraId="579C253D" w14:textId="631CD8DC" w:rsidR="008F7A70" w:rsidRDefault="008F7A70" w:rsidP="000F33B3">
            <w:pPr>
              <w:pStyle w:val="BodyText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</w:tcPr>
          <w:p w14:paraId="345473DC" w14:textId="3B305A35" w:rsidR="008F7A70" w:rsidRDefault="008F7A70" w:rsidP="000F33B3">
            <w:pPr>
              <w:pStyle w:val="BodyText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Is your organisation an EIT Climate-KIC Partner (Y/N)?</w:t>
            </w:r>
          </w:p>
          <w:p w14:paraId="26ED9E02" w14:textId="03F89B6B" w:rsidR="008F7A70" w:rsidRDefault="008F7A70" w:rsidP="000F33B3">
            <w:pPr>
              <w:pStyle w:val="BodyText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088E6A6D" w14:textId="77777777" w:rsidR="003F6256" w:rsidRPr="00E90592" w:rsidRDefault="003F6256" w:rsidP="003F6256">
            <w:pPr>
              <w:pStyle w:val="BodyText"/>
              <w:spacing w:before="8"/>
              <w:rPr>
                <w:rFonts w:ascii="Titillium" w:hAnsi="Titillium"/>
                <w:b/>
                <w:bCs/>
                <w:sz w:val="20"/>
                <w:szCs w:val="20"/>
                <w:lang w:val="en-GB"/>
              </w:rPr>
            </w:pPr>
            <w:r w:rsidRPr="00E90592">
              <w:rPr>
                <w:rFonts w:ascii="Titillium" w:hAnsi="Titillium"/>
                <w:b/>
                <w:bCs/>
                <w:sz w:val="20"/>
                <w:szCs w:val="20"/>
                <w:lang w:val="en-GB"/>
              </w:rPr>
              <w:t>For EIT Climate-KIC Partners only</w:t>
            </w:r>
            <w:r>
              <w:rPr>
                <w:rFonts w:ascii="Titillium" w:hAnsi="Titillium"/>
                <w:b/>
                <w:bCs/>
                <w:sz w:val="20"/>
                <w:szCs w:val="20"/>
                <w:lang w:val="en-GB"/>
              </w:rPr>
              <w:t>:</w:t>
            </w:r>
          </w:p>
          <w:p w14:paraId="5A9594AA" w14:textId="3F24DA5F" w:rsidR="003F6256" w:rsidRDefault="003F6256" w:rsidP="003F6256">
            <w:pPr>
              <w:pStyle w:val="BodyText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Please note </w:t>
            </w:r>
            <w:r w:rsidRPr="0095639C">
              <w:rPr>
                <w:rFonts w:ascii="Titillium" w:hAnsi="Titillium"/>
                <w:sz w:val="20"/>
                <w:szCs w:val="20"/>
                <w:lang w:val="en-GB"/>
              </w:rPr>
              <w:t xml:space="preserve">EIT Climate-KIC partners 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must have </w:t>
            </w:r>
            <w:r w:rsidRPr="00694CD5">
              <w:rPr>
                <w:rFonts w:ascii="Titillium" w:hAnsi="Titillium"/>
                <w:sz w:val="20"/>
                <w:szCs w:val="20"/>
                <w:lang w:val="en-GB"/>
              </w:rPr>
              <w:t>accede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>d</w:t>
            </w:r>
            <w:r w:rsidRPr="00694CD5">
              <w:rPr>
                <w:rFonts w:ascii="Titillium" w:hAnsi="Titillium"/>
                <w:sz w:val="20"/>
                <w:szCs w:val="20"/>
                <w:lang w:val="en-GB"/>
              </w:rPr>
              <w:t xml:space="preserve"> to the Horizon Europe Model Grant Agreement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 </w:t>
            </w:r>
            <w:r w:rsidRPr="0095639C">
              <w:rPr>
                <w:rFonts w:ascii="Titillium" w:hAnsi="Titillium"/>
                <w:sz w:val="20"/>
                <w:szCs w:val="20"/>
                <w:lang w:val="en-GB"/>
              </w:rPr>
              <w:t>to be eligible for funding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>.</w:t>
            </w:r>
            <w:r w:rsidRPr="00694CD5">
              <w:rPr>
                <w:rFonts w:ascii="Titillium" w:hAnsi="Titillium"/>
                <w:sz w:val="20"/>
                <w:szCs w:val="20"/>
                <w:lang w:val="en-GB"/>
              </w:rPr>
              <w:t xml:space="preserve"> </w:t>
            </w:r>
            <w:r w:rsidR="005F19B0" w:rsidRPr="00EA3C7E">
              <w:rPr>
                <w:rFonts w:ascii="Titillium" w:hAnsi="Titillium"/>
                <w:sz w:val="20"/>
                <w:szCs w:val="20"/>
                <w:lang w:val="en-GB"/>
              </w:rPr>
              <w:t xml:space="preserve">Can you confirm that you understand that funding is dependent on your organisation acceding to the Horizon Europe Model Grant Agreement </w:t>
            </w:r>
            <w:r w:rsidR="005F19B0">
              <w:rPr>
                <w:rFonts w:ascii="Titillium" w:hAnsi="Titillium"/>
                <w:sz w:val="20"/>
                <w:szCs w:val="20"/>
                <w:lang w:val="en-GB"/>
              </w:rPr>
              <w:t>(Y/N)</w:t>
            </w:r>
          </w:p>
          <w:p w14:paraId="37751905" w14:textId="77777777" w:rsidR="003F6256" w:rsidRDefault="003F6256" w:rsidP="003F6256">
            <w:pPr>
              <w:pStyle w:val="BodyText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04D37976" w14:textId="288F1A2D" w:rsidR="008F7A70" w:rsidRDefault="003F6256" w:rsidP="000F33B3">
            <w:pPr>
              <w:pStyle w:val="BodyText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Who is your EIT Climate-KIC contact person? </w:t>
            </w:r>
          </w:p>
          <w:p w14:paraId="3FE76953" w14:textId="77777777" w:rsidR="008F7A70" w:rsidRDefault="008F7A70" w:rsidP="000F33B3">
            <w:pPr>
              <w:pStyle w:val="BodyText"/>
              <w:spacing w:before="8"/>
              <w:rPr>
                <w:rFonts w:ascii="Titillium" w:eastAsiaTheme="minorHAnsi" w:hAnsi="Titillium" w:cstheme="minorBid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63452661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Yes/No</w:t>
            </w:r>
          </w:p>
          <w:p w14:paraId="6EDE33D9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5D77F927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Yes/No</w:t>
            </w:r>
          </w:p>
          <w:p w14:paraId="5E9E279B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7462485C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797EF691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16C61057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476D903A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5142EADE" w14:textId="77777777" w:rsidR="004773D4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2BC07D9B" w14:textId="0F3932C6" w:rsidR="002700CB" w:rsidRPr="00261BCC" w:rsidRDefault="004773D4" w:rsidP="004773D4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Contact person (if applicable): </w:t>
            </w:r>
          </w:p>
        </w:tc>
      </w:tr>
      <w:tr w:rsidR="008F7A70" w:rsidRPr="00D60B12" w14:paraId="74B1EA51" w14:textId="77777777" w:rsidTr="00C56B2C">
        <w:tc>
          <w:tcPr>
            <w:tcW w:w="562" w:type="dxa"/>
          </w:tcPr>
          <w:p w14:paraId="46E42A46" w14:textId="64B867A8" w:rsidR="008F7A70" w:rsidRPr="00F221F8" w:rsidRDefault="008F7A70" w:rsidP="000F33B3">
            <w:pPr>
              <w:widowControl w:val="0"/>
              <w:tabs>
                <w:tab w:val="left" w:pos="1360"/>
                <w:tab w:val="left" w:pos="1361"/>
              </w:tabs>
              <w:autoSpaceDE w:val="0"/>
              <w:autoSpaceDN w:val="0"/>
              <w:spacing w:before="159" w:line="261" w:lineRule="auto"/>
              <w:ind w:right="122"/>
              <w:rPr>
                <w:rFonts w:ascii="Titillium" w:hAnsi="Titillium"/>
                <w:spacing w:val="-12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pacing w:val="-12"/>
                <w:sz w:val="20"/>
                <w:szCs w:val="20"/>
                <w:lang w:val="en-GB"/>
              </w:rPr>
              <w:t>4</w:t>
            </w:r>
          </w:p>
        </w:tc>
        <w:tc>
          <w:tcPr>
            <w:tcW w:w="4820" w:type="dxa"/>
          </w:tcPr>
          <w:p w14:paraId="6BFE131A" w14:textId="302BFE5F" w:rsidR="008F7A70" w:rsidRPr="00F221F8" w:rsidRDefault="008F7A70" w:rsidP="000F33B3">
            <w:pPr>
              <w:widowControl w:val="0"/>
              <w:tabs>
                <w:tab w:val="left" w:pos="1360"/>
                <w:tab w:val="left" w:pos="1361"/>
              </w:tabs>
              <w:autoSpaceDE w:val="0"/>
              <w:autoSpaceDN w:val="0"/>
              <w:spacing w:before="159" w:line="261" w:lineRule="auto"/>
              <w:ind w:right="122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pacing w:val="-12"/>
                <w:sz w:val="20"/>
                <w:szCs w:val="20"/>
                <w:lang w:val="en-GB"/>
              </w:rPr>
              <w:t xml:space="preserve">Please provide a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description</w:t>
            </w:r>
            <w:r w:rsidRPr="00F221F8">
              <w:rPr>
                <w:rFonts w:ascii="Titillium" w:hAnsi="Titillium"/>
                <w:spacing w:val="-10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of</w:t>
            </w:r>
            <w:r w:rsidRPr="00F221F8">
              <w:rPr>
                <w:rFonts w:ascii="Titillium" w:hAnsi="Titillium"/>
                <w:spacing w:val="-12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the</w:t>
            </w:r>
            <w:r w:rsidRPr="00F221F8">
              <w:rPr>
                <w:rFonts w:ascii="Titillium" w:hAnsi="Titillium"/>
                <w:spacing w:val="-10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challenge your experiment addresses</w:t>
            </w:r>
            <w:r w:rsidRPr="00F221F8">
              <w:rPr>
                <w:rFonts w:ascii="Titillium" w:hAnsi="Titillium"/>
                <w:spacing w:val="-10"/>
                <w:sz w:val="20"/>
                <w:szCs w:val="20"/>
                <w:lang w:val="en-GB"/>
              </w:rPr>
              <w:t xml:space="preserve"> and how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 xml:space="preserve">the experiment will </w:t>
            </w:r>
            <w:r w:rsidRPr="00F221F8">
              <w:rPr>
                <w:rFonts w:ascii="Titillium" w:hAnsi="Titillium"/>
                <w:spacing w:val="-11"/>
                <w:sz w:val="20"/>
                <w:szCs w:val="20"/>
                <w:lang w:val="en-GB"/>
              </w:rPr>
              <w:t xml:space="preserve">contribute to developing innovative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learning, education, skills, and/or behaviour change approaches in support of climate action and systems transformation</w:t>
            </w:r>
          </w:p>
          <w:p w14:paraId="0D2FB5DF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7A60F55D" w14:textId="77777777" w:rsidR="008F7A70" w:rsidRPr="009C7C6E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lastRenderedPageBreak/>
              <w:t>[</w:t>
            </w:r>
            <w:r w:rsidRPr="009C7C6E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 xml:space="preserve">note that only 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 xml:space="preserve">the </w:t>
            </w:r>
            <w:r w:rsidRPr="009C7C6E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 xml:space="preserve">first 250 words will be assessed if 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response</w:t>
            </w:r>
            <w:r w:rsidRPr="009C7C6E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 xml:space="preserve"> exceeds word limit</w:t>
            </w: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7AA402B3" w14:textId="77777777" w:rsidTr="00C56B2C">
        <w:tc>
          <w:tcPr>
            <w:tcW w:w="562" w:type="dxa"/>
          </w:tcPr>
          <w:p w14:paraId="0C68DA1D" w14:textId="116D7BEA" w:rsidR="008F7A70" w:rsidRPr="00FC5C05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before="20"/>
              <w:ind w:right="120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5</w:t>
            </w:r>
          </w:p>
        </w:tc>
        <w:tc>
          <w:tcPr>
            <w:tcW w:w="4820" w:type="dxa"/>
          </w:tcPr>
          <w:p w14:paraId="6877173D" w14:textId="6BAA6FC9" w:rsidR="008F7A70" w:rsidRPr="00FC5C05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before="20"/>
              <w:ind w:right="120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Please explain how the experiment takes an innovative or radical new approach to</w:t>
            </w:r>
            <w:r w:rsidRPr="00FC5C05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the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learning that is needed for green, resilient futures.</w:t>
            </w:r>
            <w:r w:rsidRPr="00FC5C05">
              <w:rPr>
                <w:rFonts w:ascii="Titillium" w:hAnsi="Titillium"/>
                <w:spacing w:val="-7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This</w:t>
            </w:r>
            <w:r w:rsidRPr="00FC5C05">
              <w:rPr>
                <w:rFonts w:ascii="Titillium" w:hAnsi="Titillium"/>
                <w:spacing w:val="-7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should</w:t>
            </w:r>
            <w:r w:rsidRPr="00FC5C05">
              <w:rPr>
                <w:rFonts w:ascii="Titillium" w:hAnsi="Titillium"/>
                <w:spacing w:val="-7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specifically</w:t>
            </w:r>
            <w:r w:rsidRPr="00FC5C05">
              <w:rPr>
                <w:rFonts w:ascii="Titillium" w:hAnsi="Titillium"/>
                <w:spacing w:val="-7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describe</w:t>
            </w:r>
            <w:r w:rsidRPr="00FC5C05">
              <w:rPr>
                <w:rFonts w:ascii="Titillium" w:hAnsi="Titillium"/>
                <w:spacing w:val="-5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how</w:t>
            </w:r>
            <w:r w:rsidRPr="00FC5C05">
              <w:rPr>
                <w:rFonts w:ascii="Titillium" w:hAnsi="Titillium"/>
                <w:spacing w:val="-4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the</w:t>
            </w:r>
            <w:r w:rsidRPr="00FC5C05">
              <w:rPr>
                <w:rFonts w:ascii="Titillium" w:hAnsi="Titillium"/>
                <w:spacing w:val="-7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>experiment</w:t>
            </w:r>
            <w:r w:rsidRPr="00FC5C05">
              <w:rPr>
                <w:rFonts w:ascii="Titillium" w:hAnsi="Titillium"/>
                <w:spacing w:val="-5"/>
                <w:sz w:val="20"/>
                <w:szCs w:val="20"/>
                <w:lang w:val="en-GB"/>
              </w:rPr>
              <w:t xml:space="preserve">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 xml:space="preserve">is </w:t>
            </w:r>
            <w:r w:rsidRPr="00FC5C05">
              <w:rPr>
                <w:rFonts w:ascii="Titillium" w:hAnsi="Titillium"/>
                <w:spacing w:val="-47"/>
                <w:sz w:val="20"/>
                <w:szCs w:val="20"/>
                <w:lang w:val="en-GB"/>
              </w:rPr>
              <w:t xml:space="preserve">   </w:t>
            </w:r>
            <w:r w:rsidRPr="00FC5C05">
              <w:rPr>
                <w:rFonts w:ascii="Titillium" w:hAnsi="Titillium"/>
                <w:sz w:val="20"/>
                <w:szCs w:val="20"/>
                <w:lang w:val="en-GB"/>
              </w:rPr>
              <w:t xml:space="preserve">innovative in its context. </w:t>
            </w:r>
          </w:p>
          <w:p w14:paraId="3BC37C11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557B6A25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79260CFE" w14:textId="77777777" w:rsidTr="00C56B2C">
        <w:tc>
          <w:tcPr>
            <w:tcW w:w="562" w:type="dxa"/>
          </w:tcPr>
          <w:p w14:paraId="2254AB3E" w14:textId="3037785B" w:rsidR="008F7A70" w:rsidRPr="00F221F8" w:rsidRDefault="008F7A70" w:rsidP="000F33B3">
            <w:pPr>
              <w:widowControl w:val="0"/>
              <w:tabs>
                <w:tab w:val="left" w:pos="1360"/>
                <w:tab w:val="left" w:pos="1361"/>
              </w:tabs>
              <w:autoSpaceDE w:val="0"/>
              <w:autoSpaceDN w:val="0"/>
              <w:ind w:right="127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6</w:t>
            </w:r>
          </w:p>
        </w:tc>
        <w:tc>
          <w:tcPr>
            <w:tcW w:w="4820" w:type="dxa"/>
          </w:tcPr>
          <w:p w14:paraId="01089780" w14:textId="5FD1EE59" w:rsidR="008F7A70" w:rsidRPr="00F221F8" w:rsidRDefault="008F7A70" w:rsidP="000F33B3">
            <w:pPr>
              <w:widowControl w:val="0"/>
              <w:tabs>
                <w:tab w:val="left" w:pos="1360"/>
                <w:tab w:val="left" w:pos="1361"/>
              </w:tabs>
              <w:autoSpaceDE w:val="0"/>
              <w:autoSpaceDN w:val="0"/>
              <w:ind w:right="127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Please describe</w:t>
            </w:r>
            <w:r w:rsidRPr="00F221F8">
              <w:rPr>
                <w:rFonts w:ascii="Titillium" w:hAnsi="Titillium"/>
                <w:spacing w:val="16"/>
                <w:sz w:val="20"/>
                <w:szCs w:val="20"/>
                <w:lang w:val="en-GB"/>
              </w:rPr>
              <w:t xml:space="preserve"> the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target</w:t>
            </w:r>
            <w:r w:rsidRPr="00F221F8">
              <w:rPr>
                <w:rFonts w:ascii="Titillium" w:hAnsi="Titillium"/>
                <w:spacing w:val="19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group(s)</w:t>
            </w:r>
            <w:r w:rsidRPr="00F221F8">
              <w:rPr>
                <w:rFonts w:ascii="Titillium" w:hAnsi="Titillium"/>
                <w:spacing w:val="15"/>
                <w:sz w:val="20"/>
                <w:szCs w:val="20"/>
                <w:lang w:val="en-GB"/>
              </w:rPr>
              <w:t xml:space="preserve"> of the experiment</w:t>
            </w:r>
            <w:r>
              <w:rPr>
                <w:rFonts w:ascii="Titillium" w:hAnsi="Titillium"/>
                <w:spacing w:val="15"/>
                <w:sz w:val="20"/>
                <w:szCs w:val="20"/>
                <w:lang w:val="en-GB"/>
              </w:rPr>
              <w:t xml:space="preserve"> and the rationale for choosing them</w:t>
            </w:r>
            <w:r w:rsidRPr="00F221F8">
              <w:rPr>
                <w:rFonts w:ascii="Titillium" w:hAnsi="Titillium"/>
                <w:spacing w:val="21"/>
                <w:sz w:val="20"/>
                <w:szCs w:val="20"/>
                <w:lang w:val="en-GB"/>
              </w:rPr>
              <w:t>. Will any other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pacing w:val="-47"/>
                <w:sz w:val="20"/>
                <w:szCs w:val="20"/>
                <w:lang w:val="en-GB"/>
              </w:rPr>
              <w:t xml:space="preserve">   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stakeholders be involved?</w:t>
            </w:r>
          </w:p>
          <w:p w14:paraId="41A8B063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7F83AA37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3A1C4477" w14:textId="77777777" w:rsidTr="00C56B2C">
        <w:tc>
          <w:tcPr>
            <w:tcW w:w="562" w:type="dxa"/>
          </w:tcPr>
          <w:p w14:paraId="7BD4115E" w14:textId="5B110550" w:rsidR="008F7A70" w:rsidRPr="00F221F8" w:rsidRDefault="008F7A70" w:rsidP="008F7A70">
            <w:pPr>
              <w:pStyle w:val="TableParagraph"/>
              <w:spacing w:before="1"/>
              <w:ind w:left="0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7</w:t>
            </w:r>
          </w:p>
        </w:tc>
        <w:tc>
          <w:tcPr>
            <w:tcW w:w="4820" w:type="dxa"/>
          </w:tcPr>
          <w:p w14:paraId="43CD66C8" w14:textId="2609700C" w:rsidR="008F7A70" w:rsidRPr="00F221F8" w:rsidRDefault="008F7A70" w:rsidP="008F7A70">
            <w:pPr>
              <w:pStyle w:val="TableParagraph"/>
              <w:spacing w:before="1"/>
              <w:ind w:left="0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Please provide a description of the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 intended outputs of your experiment. Describe any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 xml:space="preserve"> methodologies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to be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used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or</w:t>
            </w:r>
            <w:r w:rsidRPr="00F221F8">
              <w:rPr>
                <w:rFonts w:ascii="Titillium" w:hAnsi="Titillium"/>
                <w:spacing w:val="-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developed and the potential tangible outputs.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 </w:t>
            </w: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t>Please explain any assumptions and risks you envision for your experiment.</w:t>
            </w:r>
          </w:p>
          <w:p w14:paraId="39ECDFE6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4F563AD8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47B12369" w14:textId="77777777" w:rsidTr="00C56B2C">
        <w:tc>
          <w:tcPr>
            <w:tcW w:w="562" w:type="dxa"/>
          </w:tcPr>
          <w:p w14:paraId="52CE99E9" w14:textId="3705A821" w:rsidR="008F7A70" w:rsidRPr="009C7C6E" w:rsidRDefault="008F7A70" w:rsidP="000F33B3">
            <w:pPr>
              <w:pStyle w:val="BodyText2"/>
            </w:pPr>
            <w:r>
              <w:t>8</w:t>
            </w:r>
          </w:p>
        </w:tc>
        <w:tc>
          <w:tcPr>
            <w:tcW w:w="4820" w:type="dxa"/>
          </w:tcPr>
          <w:p w14:paraId="697B5475" w14:textId="49D745CD" w:rsidR="008F7A70" w:rsidRPr="00F221F8" w:rsidRDefault="008F7A70" w:rsidP="000F33B3">
            <w:pPr>
              <w:pStyle w:val="BodyText2"/>
            </w:pPr>
            <w:r w:rsidRPr="009C7C6E">
              <w:t>Please reflect on how the experiment responds to EIT Climate-KIC’s Transformation in Time strategy and the EIT Climate-KIC Learning Community approach as outlined in the Background section on p. 5.</w:t>
            </w:r>
          </w:p>
          <w:p w14:paraId="3B63F46E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04A4F755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52B403BF" w14:textId="77777777" w:rsidTr="00C56B2C">
        <w:tc>
          <w:tcPr>
            <w:tcW w:w="562" w:type="dxa"/>
          </w:tcPr>
          <w:p w14:paraId="79D3E2F6" w14:textId="6F0FBA33" w:rsidR="008F7A70" w:rsidRPr="00F221F8" w:rsidRDefault="008F7A70" w:rsidP="007209AC">
            <w:pPr>
              <w:widowControl w:val="0"/>
              <w:tabs>
                <w:tab w:val="left" w:pos="1361"/>
              </w:tabs>
              <w:autoSpaceDE w:val="0"/>
              <w:autoSpaceDN w:val="0"/>
              <w:spacing w:line="279" w:lineRule="exact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9</w:t>
            </w:r>
          </w:p>
        </w:tc>
        <w:tc>
          <w:tcPr>
            <w:tcW w:w="4820" w:type="dxa"/>
          </w:tcPr>
          <w:p w14:paraId="0F70F1F5" w14:textId="77777777" w:rsidR="008F7A70" w:rsidRDefault="008F7A70" w:rsidP="007209AC">
            <w:pPr>
              <w:widowControl w:val="0"/>
              <w:tabs>
                <w:tab w:val="left" w:pos="1361"/>
              </w:tabs>
              <w:autoSpaceDE w:val="0"/>
              <w:autoSpaceDN w:val="0"/>
              <w:spacing w:line="279" w:lineRule="exact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Please describe how</w:t>
            </w:r>
            <w:r w:rsidRPr="00F221F8">
              <w:rPr>
                <w:rFonts w:ascii="Titillium" w:hAnsi="Titillium"/>
                <w:spacing w:val="-5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content and</w:t>
            </w:r>
            <w:r w:rsidRPr="00F221F8">
              <w:rPr>
                <w:rFonts w:ascii="Titillium" w:hAnsi="Titillium"/>
                <w:spacing w:val="-4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results</w:t>
            </w:r>
            <w:r w:rsidRPr="00F221F8">
              <w:rPr>
                <w:rFonts w:ascii="Titillium" w:hAnsi="Titillium"/>
                <w:spacing w:val="2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will</w:t>
            </w:r>
            <w:r w:rsidRPr="00F221F8">
              <w:rPr>
                <w:rFonts w:ascii="Titillium" w:hAnsi="Titillium"/>
                <w:spacing w:val="-2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be</w:t>
            </w:r>
            <w:r w:rsidRPr="00F221F8">
              <w:rPr>
                <w:rFonts w:ascii="Titillium" w:hAnsi="Titillium"/>
                <w:spacing w:val="-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shared and disseminated</w:t>
            </w:r>
            <w:r w:rsidRPr="00F221F8">
              <w:rPr>
                <w:rFonts w:ascii="Titillium" w:hAnsi="Titillium"/>
                <w:spacing w:val="-2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throughout</w:t>
            </w:r>
            <w:r w:rsidRPr="00F221F8">
              <w:rPr>
                <w:rFonts w:ascii="Titillium" w:hAnsi="Titillium"/>
                <w:spacing w:val="-2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the</w:t>
            </w:r>
            <w:r w:rsidRPr="00F221F8">
              <w:rPr>
                <w:rFonts w:ascii="Titillium" w:hAnsi="Titillium"/>
                <w:spacing w:val="-3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process.</w:t>
            </w:r>
          </w:p>
          <w:p w14:paraId="63AEEDE9" w14:textId="66DB8B03" w:rsidR="00FA7BFB" w:rsidRPr="007209AC" w:rsidRDefault="00FA7BFB" w:rsidP="007209AC">
            <w:pPr>
              <w:widowControl w:val="0"/>
              <w:tabs>
                <w:tab w:val="left" w:pos="1361"/>
              </w:tabs>
              <w:autoSpaceDE w:val="0"/>
              <w:autoSpaceDN w:val="0"/>
              <w:spacing w:line="279" w:lineRule="exact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48E9F6F5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4A9DECFE" w14:textId="77777777" w:rsidTr="00C56B2C">
        <w:tc>
          <w:tcPr>
            <w:tcW w:w="562" w:type="dxa"/>
          </w:tcPr>
          <w:p w14:paraId="6FC8D06B" w14:textId="15BFEBB9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10</w:t>
            </w:r>
          </w:p>
        </w:tc>
        <w:tc>
          <w:tcPr>
            <w:tcW w:w="4820" w:type="dxa"/>
          </w:tcPr>
          <w:p w14:paraId="5F00A20F" w14:textId="648DF893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Please describe how</w:t>
            </w:r>
            <w:r w:rsidRPr="00F221F8">
              <w:rPr>
                <w:rFonts w:ascii="Titillium" w:hAnsi="Titillium"/>
                <w:spacing w:val="-5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success will</w:t>
            </w:r>
            <w:r w:rsidRPr="00F221F8">
              <w:rPr>
                <w:rFonts w:ascii="Titillium" w:hAnsi="Titillium"/>
                <w:spacing w:val="-3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be</w:t>
            </w:r>
            <w:r w:rsidRPr="00F221F8">
              <w:rPr>
                <w:rFonts w:ascii="Titillium" w:hAnsi="Titillium"/>
                <w:spacing w:val="-3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measured throughout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the</w:t>
            </w:r>
            <w:r w:rsidRPr="00F221F8">
              <w:rPr>
                <w:rFonts w:ascii="Titillium" w:hAnsi="Titillium"/>
                <w:spacing w:val="-3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experiment</w:t>
            </w: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t>.</w:t>
            </w:r>
          </w:p>
          <w:p w14:paraId="3655F3F7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1A7D0E65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0110ABDE" w14:textId="77777777" w:rsidTr="00C56B2C">
        <w:tc>
          <w:tcPr>
            <w:tcW w:w="562" w:type="dxa"/>
          </w:tcPr>
          <w:p w14:paraId="0B6F5040" w14:textId="141AD295" w:rsidR="008F7A70" w:rsidRPr="00F221F8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ind w:right="120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11</w:t>
            </w:r>
          </w:p>
        </w:tc>
        <w:tc>
          <w:tcPr>
            <w:tcW w:w="4820" w:type="dxa"/>
          </w:tcPr>
          <w:p w14:paraId="27999DDF" w14:textId="7884A866" w:rsidR="008F7A70" w:rsidRPr="00F221F8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ind w:right="120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Please explore potential activities after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conclusion of RIS EduEx 2021 to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further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develop the experiment,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including</w:t>
            </w:r>
            <w:r w:rsidRPr="00F221F8">
              <w:rPr>
                <w:rFonts w:ascii="Titillium" w:hAnsi="Titillium"/>
                <w:spacing w:val="-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scaling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and</w:t>
            </w:r>
            <w:r w:rsidRPr="00F221F8">
              <w:rPr>
                <w:rFonts w:ascii="Titillium" w:hAnsi="Titillium"/>
                <w:spacing w:val="-2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inspiring</w:t>
            </w:r>
            <w:r w:rsidRPr="00F221F8">
              <w:rPr>
                <w:rFonts w:ascii="Titillium" w:hAnsi="Titillium"/>
                <w:spacing w:val="1"/>
                <w:sz w:val="20"/>
                <w:szCs w:val="20"/>
                <w:lang w:val="en-GB"/>
              </w:rPr>
              <w:t xml:space="preserve"> 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others and incorporating the learnings into the experimenter’s local or regional networks, or other existing activities</w:t>
            </w: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t>.</w:t>
            </w:r>
          </w:p>
          <w:p w14:paraId="4B4A466F" w14:textId="77777777" w:rsidR="008F7A70" w:rsidRPr="00F221F8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7B7CE2AB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  <w:tr w:rsidR="008F7A70" w:rsidRPr="00D60B12" w14:paraId="110791A8" w14:textId="77777777" w:rsidTr="00C56B2C">
        <w:tc>
          <w:tcPr>
            <w:tcW w:w="562" w:type="dxa"/>
          </w:tcPr>
          <w:p w14:paraId="52FDA43A" w14:textId="6FE922FE" w:rsidR="008F7A70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12</w:t>
            </w:r>
          </w:p>
        </w:tc>
        <w:tc>
          <w:tcPr>
            <w:tcW w:w="4820" w:type="dxa"/>
          </w:tcPr>
          <w:p w14:paraId="779E0CEE" w14:textId="317961E6" w:rsidR="008F7A70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Please provide a b</w:t>
            </w:r>
            <w:r w:rsidRPr="16B5E2B6">
              <w:rPr>
                <w:rFonts w:ascii="Titillium" w:hAnsi="Titillium"/>
                <w:sz w:val="20"/>
                <w:szCs w:val="20"/>
                <w:lang w:val="en-GB"/>
              </w:rPr>
              <w:t>udget overview including the personnel costs (Person Months used to deliver the project by different employment categories), other direct costs (travel subsistence, equipment, goods and services) or possible subcontracting.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 xml:space="preserve"> </w:t>
            </w:r>
          </w:p>
          <w:p w14:paraId="056309E4" w14:textId="59F69CB4" w:rsidR="008F7A70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64E67E54" w14:textId="33D7D910" w:rsidR="00E62AD4" w:rsidRDefault="002B0D8C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4218B3">
              <w:rPr>
                <w:rFonts w:ascii="Titillium" w:hAnsi="Titillium"/>
                <w:sz w:val="20"/>
                <w:szCs w:val="20"/>
                <w:lang w:val="en-GB"/>
              </w:rPr>
              <w:t xml:space="preserve">Budget details must include </w:t>
            </w:r>
            <w:r w:rsidRPr="004218B3">
              <w:rPr>
                <w:rFonts w:ascii="Titillium" w:hAnsi="Titillium"/>
                <w:b/>
                <w:bCs/>
                <w:sz w:val="20"/>
                <w:szCs w:val="20"/>
                <w:lang w:val="en-GB"/>
              </w:rPr>
              <w:t>cost categories</w:t>
            </w:r>
            <w:r w:rsidRPr="004218B3">
              <w:rPr>
                <w:rFonts w:ascii="Titillium" w:hAnsi="Titillium"/>
                <w:sz w:val="20"/>
                <w:szCs w:val="20"/>
                <w:lang w:val="en-GB"/>
              </w:rPr>
              <w:t xml:space="preserve"> using the Horizon Europe cost reimbursement rules as a guidance – please consult </w:t>
            </w:r>
            <w:hyperlink r:id="rId12" w:history="1">
              <w:r w:rsidRPr="004218B3">
                <w:rPr>
                  <w:rStyle w:val="Hyperlink"/>
                  <w:rFonts w:ascii="Titillium" w:hAnsi="Titillium"/>
                  <w:sz w:val="20"/>
                  <w:szCs w:val="20"/>
                  <w:lang w:val="en-GB"/>
                </w:rPr>
                <w:t>this official document</w:t>
              </w:r>
            </w:hyperlink>
            <w:r w:rsidRPr="004218B3">
              <w:rPr>
                <w:rFonts w:ascii="Titillium" w:hAnsi="Titillium"/>
                <w:sz w:val="20"/>
                <w:szCs w:val="20"/>
                <w:lang w:val="en-GB"/>
              </w:rPr>
              <w:t xml:space="preserve"> for further information on eligible cost categories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>.</w:t>
            </w:r>
          </w:p>
          <w:p w14:paraId="7AAF15C6" w14:textId="77777777" w:rsidR="002B0D8C" w:rsidRDefault="002B0D8C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</w:p>
          <w:p w14:paraId="2F5B9013" w14:textId="77777777" w:rsidR="00C56B2C" w:rsidRPr="009C7C6E" w:rsidRDefault="00C56B2C" w:rsidP="00C56B2C">
            <w:pPr>
              <w:widowControl w:val="0"/>
              <w:tabs>
                <w:tab w:val="left" w:pos="1361"/>
              </w:tabs>
              <w:autoSpaceDE w:val="0"/>
              <w:autoSpaceDN w:val="0"/>
              <w:ind w:right="120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t xml:space="preserve">You may wish to </w:t>
            </w:r>
            <w:r>
              <w:rPr>
                <w:rFonts w:ascii="Titillium" w:hAnsi="Titillium"/>
                <w:sz w:val="20"/>
                <w:szCs w:val="20"/>
                <w:lang w:val="en-GB"/>
              </w:rPr>
              <w:t>complete this section</w:t>
            </w:r>
            <w:r w:rsidRPr="009C7C6E">
              <w:rPr>
                <w:rFonts w:ascii="Titillium" w:hAnsi="Titillium"/>
                <w:sz w:val="20"/>
                <w:szCs w:val="20"/>
                <w:lang w:val="en-GB"/>
              </w:rPr>
              <w:t xml:space="preserve"> in the open space below this table. </w:t>
            </w:r>
          </w:p>
          <w:p w14:paraId="7EE4BFBB" w14:textId="77777777" w:rsidR="008F7A70" w:rsidRPr="00F221F8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ind w:right="120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289C58CE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</w:p>
        </w:tc>
      </w:tr>
      <w:tr w:rsidR="008F7A70" w:rsidRPr="00D60B12" w14:paraId="12882309" w14:textId="77777777" w:rsidTr="00C56B2C">
        <w:tc>
          <w:tcPr>
            <w:tcW w:w="562" w:type="dxa"/>
          </w:tcPr>
          <w:p w14:paraId="66BDC116" w14:textId="699F2E2C" w:rsidR="008F7A70" w:rsidRPr="00F221F8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sz w:val="20"/>
                <w:szCs w:val="20"/>
                <w:lang w:val="en-GB"/>
              </w:rPr>
            </w:pPr>
            <w:r>
              <w:rPr>
                <w:rFonts w:ascii="Titillium" w:hAnsi="Titillium"/>
                <w:sz w:val="20"/>
                <w:szCs w:val="20"/>
                <w:lang w:val="en-GB"/>
              </w:rPr>
              <w:t>13</w:t>
            </w:r>
          </w:p>
        </w:tc>
        <w:tc>
          <w:tcPr>
            <w:tcW w:w="4820" w:type="dxa"/>
          </w:tcPr>
          <w:p w14:paraId="6A6BA40F" w14:textId="63C7F05B" w:rsidR="008F7A70" w:rsidRPr="00F221F8" w:rsidRDefault="008F7A70" w:rsidP="000F33B3">
            <w:pPr>
              <w:widowControl w:val="0"/>
              <w:tabs>
                <w:tab w:val="left" w:pos="1361"/>
              </w:tabs>
              <w:autoSpaceDE w:val="0"/>
              <w:autoSpaceDN w:val="0"/>
              <w:spacing w:line="261" w:lineRule="auto"/>
              <w:ind w:right="116"/>
              <w:jc w:val="both"/>
              <w:rPr>
                <w:rFonts w:ascii="Titillium" w:hAnsi="Titillium"/>
                <w:b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 xml:space="preserve">(Optional) Please use this space to provide any other relevant information about your application that has not been covered in the previous questions. </w:t>
            </w:r>
          </w:p>
        </w:tc>
        <w:tc>
          <w:tcPr>
            <w:tcW w:w="4961" w:type="dxa"/>
          </w:tcPr>
          <w:p w14:paraId="3E81BEF9" w14:textId="77777777" w:rsidR="008F7A70" w:rsidRPr="00F221F8" w:rsidRDefault="008F7A70" w:rsidP="000F33B3">
            <w:pPr>
              <w:widowControl w:val="0"/>
              <w:autoSpaceDE w:val="0"/>
              <w:autoSpaceDN w:val="0"/>
              <w:spacing w:before="8"/>
              <w:rPr>
                <w:rFonts w:ascii="Titillium" w:hAnsi="Titillium"/>
                <w:sz w:val="20"/>
                <w:szCs w:val="20"/>
                <w:lang w:val="en-GB"/>
              </w:rPr>
            </w:pP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[</w:t>
            </w:r>
            <w:r w:rsidRPr="00F221F8">
              <w:rPr>
                <w:rFonts w:ascii="Titillium" w:hAnsi="Titillium"/>
                <w:sz w:val="20"/>
                <w:szCs w:val="20"/>
                <w:highlight w:val="yellow"/>
                <w:lang w:val="en-GB"/>
              </w:rPr>
              <w:t>note that only the first 250 words will be assessed if response exceeds word limit</w:t>
            </w:r>
            <w:r w:rsidRPr="00F221F8">
              <w:rPr>
                <w:rFonts w:ascii="Titillium" w:hAnsi="Titillium"/>
                <w:sz w:val="20"/>
                <w:szCs w:val="20"/>
                <w:lang w:val="en-GB"/>
              </w:rPr>
              <w:t>]</w:t>
            </w:r>
          </w:p>
        </w:tc>
      </w:tr>
    </w:tbl>
    <w:p w14:paraId="0BB4DC2D" w14:textId="77777777" w:rsidR="00D47AA8" w:rsidRPr="00D60B12" w:rsidRDefault="00D47AA8" w:rsidP="00D47AA8">
      <w:pPr>
        <w:widowControl w:val="0"/>
        <w:autoSpaceDE w:val="0"/>
        <w:autoSpaceDN w:val="0"/>
        <w:spacing w:before="8" w:after="0" w:line="240" w:lineRule="auto"/>
        <w:rPr>
          <w:rFonts w:ascii="Titillium" w:hAnsi="Titillium"/>
          <w:sz w:val="28"/>
          <w:lang w:val="en-GB"/>
        </w:rPr>
      </w:pPr>
    </w:p>
    <w:p w14:paraId="346F5DE6" w14:textId="77777777" w:rsidR="00D47AA8" w:rsidRPr="00D60B12" w:rsidRDefault="00D47AA8" w:rsidP="00D47AA8">
      <w:pPr>
        <w:spacing w:line="240" w:lineRule="auto"/>
        <w:rPr>
          <w:rFonts w:ascii="Titillium" w:hAnsi="Titillium"/>
          <w:lang w:val="en-GB"/>
        </w:rPr>
      </w:pPr>
    </w:p>
    <w:p w14:paraId="5E5787A5" w14:textId="77777777" w:rsidR="00BA2981" w:rsidRDefault="00BA2981"/>
    <w:sectPr w:rsidR="00BA2981" w:rsidSect="00FC5C05">
      <w:headerReference w:type="default" r:id="rId13"/>
      <w:footerReference w:type="default" r:id="rId14"/>
      <w:pgSz w:w="12240" w:h="15840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4B0B" w14:textId="77777777" w:rsidR="0091157C" w:rsidRDefault="0091157C">
      <w:pPr>
        <w:spacing w:after="0" w:line="240" w:lineRule="auto"/>
      </w:pPr>
      <w:r>
        <w:separator/>
      </w:r>
    </w:p>
  </w:endnote>
  <w:endnote w:type="continuationSeparator" w:id="0">
    <w:p w14:paraId="788DDBD9" w14:textId="77777777" w:rsidR="0091157C" w:rsidRDefault="009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tillium" w:hAnsi="Titillium"/>
        <w:sz w:val="18"/>
        <w:szCs w:val="18"/>
      </w:rPr>
      <w:id w:val="539251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6A9A4" w14:textId="77777777" w:rsidR="0004225C" w:rsidRPr="0004225C" w:rsidRDefault="007209AC">
        <w:pPr>
          <w:pStyle w:val="Footer"/>
          <w:jc w:val="right"/>
          <w:rPr>
            <w:rFonts w:ascii="Titillium" w:hAnsi="Titillium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BAE7D9C" wp14:editId="7015CAEC">
              <wp:simplePos x="0" y="0"/>
              <wp:positionH relativeFrom="column">
                <wp:posOffset>3656609</wp:posOffset>
              </wp:positionH>
              <wp:positionV relativeFrom="paragraph">
                <wp:posOffset>-1592072</wp:posOffset>
              </wp:positionV>
              <wp:extent cx="3707765" cy="3707765"/>
              <wp:effectExtent l="0" t="0" r="0" b="0"/>
              <wp:wrapNone/>
              <wp:docPr id="333294432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7765" cy="3707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4225C">
          <w:rPr>
            <w:rFonts w:ascii="Titillium" w:hAnsi="Titillium"/>
            <w:sz w:val="18"/>
            <w:szCs w:val="18"/>
          </w:rPr>
          <w:fldChar w:fldCharType="begin"/>
        </w:r>
        <w:r w:rsidRPr="0004225C">
          <w:rPr>
            <w:rFonts w:ascii="Titillium" w:hAnsi="Titillium"/>
            <w:sz w:val="18"/>
            <w:szCs w:val="18"/>
          </w:rPr>
          <w:instrText xml:space="preserve"> PAGE   \* MERGEFORMAT </w:instrText>
        </w:r>
        <w:r w:rsidRPr="0004225C">
          <w:rPr>
            <w:rFonts w:ascii="Titillium" w:hAnsi="Titillium"/>
            <w:sz w:val="18"/>
            <w:szCs w:val="18"/>
          </w:rPr>
          <w:fldChar w:fldCharType="separate"/>
        </w:r>
        <w:r w:rsidRPr="0004225C">
          <w:rPr>
            <w:rFonts w:ascii="Titillium" w:hAnsi="Titillium"/>
            <w:noProof/>
            <w:sz w:val="18"/>
            <w:szCs w:val="18"/>
          </w:rPr>
          <w:t>2</w:t>
        </w:r>
        <w:r w:rsidRPr="0004225C">
          <w:rPr>
            <w:rFonts w:ascii="Titillium" w:hAnsi="Titillium"/>
            <w:noProof/>
            <w:sz w:val="18"/>
            <w:szCs w:val="18"/>
          </w:rPr>
          <w:fldChar w:fldCharType="end"/>
        </w:r>
      </w:p>
    </w:sdtContent>
  </w:sdt>
  <w:p w14:paraId="22F6B3EC" w14:textId="77777777" w:rsidR="006F3750" w:rsidRDefault="007209AC">
    <w:pPr>
      <w:pStyle w:val="Footer"/>
    </w:pPr>
    <w:r>
      <w:rPr>
        <w:noProof/>
      </w:rPr>
      <w:drawing>
        <wp:inline distT="0" distB="0" distL="0" distR="0" wp14:anchorId="0F16A651" wp14:editId="72F71829">
          <wp:extent cx="2393076" cy="7193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58779" r="-5313"/>
                  <a:stretch>
                    <a:fillRect/>
                  </a:stretch>
                </pic:blipFill>
                <pic:spPr>
                  <a:xfrm>
                    <a:off x="0" y="0"/>
                    <a:ext cx="2393076" cy="71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50D5" w14:textId="77777777" w:rsidR="0091157C" w:rsidRDefault="0091157C">
      <w:pPr>
        <w:spacing w:after="0" w:line="240" w:lineRule="auto"/>
      </w:pPr>
      <w:r>
        <w:separator/>
      </w:r>
    </w:p>
  </w:footnote>
  <w:footnote w:type="continuationSeparator" w:id="0">
    <w:p w14:paraId="61E1AAC9" w14:textId="77777777" w:rsidR="0091157C" w:rsidRDefault="0091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686F" w14:textId="77777777" w:rsidR="006F3750" w:rsidRDefault="005F19B0">
    <w:pPr>
      <w:pStyle w:val="Header"/>
      <w:jc w:val="right"/>
    </w:pPr>
  </w:p>
  <w:p w14:paraId="19DC38ED" w14:textId="77777777" w:rsidR="006F3750" w:rsidRDefault="007209AC">
    <w:pPr>
      <w:pStyle w:val="Header"/>
    </w:pPr>
    <w:r>
      <w:rPr>
        <w:noProof/>
      </w:rPr>
      <w:drawing>
        <wp:inline distT="0" distB="0" distL="0" distR="0" wp14:anchorId="45DB6863" wp14:editId="0D406D51">
          <wp:extent cx="2413000" cy="719455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53083"/>
                  <a:stretch/>
                </pic:blipFill>
                <pic:spPr bwMode="auto">
                  <a:xfrm>
                    <a:off x="0" y="0"/>
                    <a:ext cx="241482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80A454" w14:textId="77777777" w:rsidR="00594F48" w:rsidRDefault="005F19B0">
    <w:pPr>
      <w:pStyle w:val="Header"/>
    </w:pPr>
  </w:p>
  <w:p w14:paraId="522D0840" w14:textId="77777777" w:rsidR="00594F48" w:rsidRDefault="005F1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49E6"/>
    <w:multiLevelType w:val="hybridMultilevel"/>
    <w:tmpl w:val="5EBA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0FA"/>
    <w:multiLevelType w:val="hybridMultilevel"/>
    <w:tmpl w:val="F350E40A"/>
    <w:lvl w:ilvl="0" w:tplc="9740ED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8DD"/>
    <w:multiLevelType w:val="hybridMultilevel"/>
    <w:tmpl w:val="FEC67F3C"/>
    <w:lvl w:ilvl="0" w:tplc="911C7E4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0070C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115B"/>
    <w:multiLevelType w:val="multilevel"/>
    <w:tmpl w:val="6CF2F232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color w:val="6BB745"/>
        <w:sz w:val="24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0031C"/>
    <w:rsid w:val="000D3D0A"/>
    <w:rsid w:val="00244D27"/>
    <w:rsid w:val="002700CB"/>
    <w:rsid w:val="002B0D8C"/>
    <w:rsid w:val="00313831"/>
    <w:rsid w:val="003E439C"/>
    <w:rsid w:val="003F6256"/>
    <w:rsid w:val="004773D4"/>
    <w:rsid w:val="005F19B0"/>
    <w:rsid w:val="006477B2"/>
    <w:rsid w:val="006A70E1"/>
    <w:rsid w:val="006B6034"/>
    <w:rsid w:val="007209AC"/>
    <w:rsid w:val="008D2E23"/>
    <w:rsid w:val="008F7A70"/>
    <w:rsid w:val="0091157C"/>
    <w:rsid w:val="009772E2"/>
    <w:rsid w:val="00BA2981"/>
    <w:rsid w:val="00BD3EC3"/>
    <w:rsid w:val="00C56B2C"/>
    <w:rsid w:val="00D47AA8"/>
    <w:rsid w:val="00E43899"/>
    <w:rsid w:val="00E62AD4"/>
    <w:rsid w:val="00F73A2B"/>
    <w:rsid w:val="00FA7BFB"/>
    <w:rsid w:val="2DC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031C"/>
  <w15:chartTrackingRefBased/>
  <w15:docId w15:val="{FDF02AC9-2AFF-4259-B39C-8EAF9A6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A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A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A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AA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A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A8"/>
    <w:pPr>
      <w:keepNext/>
      <w:keepLines/>
      <w:numPr>
        <w:ilvl w:val="5"/>
        <w:numId w:val="1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A8"/>
    <w:pPr>
      <w:keepNext/>
      <w:keepLines/>
      <w:numPr>
        <w:ilvl w:val="6"/>
        <w:numId w:val="1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A8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A8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A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7A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AA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AA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AA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AA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Bullet 1,OBC Bullet,FooterText,numbered,Paragraphe de liste1,Bulletr List Paragraph,列出段落,列出段落1"/>
    <w:basedOn w:val="Normal"/>
    <w:link w:val="ListParagraphChar"/>
    <w:uiPriority w:val="34"/>
    <w:qFormat/>
    <w:rsid w:val="00D47AA8"/>
    <w:pPr>
      <w:ind w:left="720"/>
      <w:contextualSpacing/>
    </w:pPr>
  </w:style>
  <w:style w:type="table" w:styleId="TableGrid">
    <w:name w:val="Table Grid"/>
    <w:basedOn w:val="TableNormal"/>
    <w:uiPriority w:val="39"/>
    <w:rsid w:val="00D47AA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Bullet 1 Char,OBC Bullet Char,FooterText Char"/>
    <w:basedOn w:val="DefaultParagraphFont"/>
    <w:link w:val="ListParagraph"/>
    <w:uiPriority w:val="34"/>
    <w:rsid w:val="00D47AA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A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7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AA8"/>
    <w:pPr>
      <w:spacing w:after="240" w:line="240" w:lineRule="auto"/>
      <w:ind w:left="576"/>
    </w:pPr>
    <w:rPr>
      <w:rFonts w:eastAsiaTheme="minorEastAsia" w:cstheme="minorHAnsi"/>
      <w:color w:val="000000" w:themeColor="text1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AA8"/>
    <w:rPr>
      <w:rFonts w:eastAsiaTheme="minorEastAsia" w:cstheme="minorHAnsi"/>
      <w:color w:val="000000" w:themeColor="text1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47AA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AA8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7A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47AA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47AA8"/>
    <w:pPr>
      <w:widowControl w:val="0"/>
      <w:autoSpaceDE w:val="0"/>
      <w:autoSpaceDN w:val="0"/>
      <w:spacing w:after="0" w:line="240" w:lineRule="auto"/>
      <w:ind w:left="810"/>
    </w:pPr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D47AA8"/>
    <w:pPr>
      <w:widowControl w:val="0"/>
      <w:autoSpaceDE w:val="0"/>
      <w:autoSpaceDN w:val="0"/>
      <w:spacing w:before="8" w:after="0" w:line="240" w:lineRule="auto"/>
    </w:pPr>
    <w:rPr>
      <w:rFonts w:ascii="Titillium" w:hAnsi="Titillium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47AA8"/>
    <w:rPr>
      <w:rFonts w:ascii="Titillium" w:hAnsi="Titilliu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funding-tenders/opportunities/docs/2021-2027/common/agr-contr/general-mga_horizon-euratom_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t.europa.eu/our-activities/eit-regional-innovation-scheme-ri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duex@climate-ki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BC20636C8D7409F7A85A6F492E23A" ma:contentTypeVersion="12" ma:contentTypeDescription="Create a new document." ma:contentTypeScope="" ma:versionID="4e739c593d06fb8bc3df9fdcc9e1a215">
  <xsd:schema xmlns:xsd="http://www.w3.org/2001/XMLSchema" xmlns:xs="http://www.w3.org/2001/XMLSchema" xmlns:p="http://schemas.microsoft.com/office/2006/metadata/properties" xmlns:ns2="6797baab-81cd-42d0-b465-8e221cdf18ba" xmlns:ns3="84720f4c-acca-4601-8f51-f20c6da27acc" targetNamespace="http://schemas.microsoft.com/office/2006/metadata/properties" ma:root="true" ma:fieldsID="92ec6a61f42bf1f3f52c9f0c41a1bc56" ns2:_="" ns3:_="">
    <xsd:import namespace="6797baab-81cd-42d0-b465-8e221cdf18ba"/>
    <xsd:import namespace="84720f4c-acca-4601-8f51-f20c6da2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7baab-81cd-42d0-b465-8e221cdf1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0f4c-acca-4601-8f51-f20c6da2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2D4AB-F500-43C1-94EF-B40B50FEC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7682D-FAB1-4287-AFA9-57A46DDA0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7baab-81cd-42d0-b465-8e221cdf18ba"/>
    <ds:schemaRef ds:uri="84720f4c-acca-4601-8f51-f20c6da2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7B0F1-222B-47C5-B2AF-55E6927204BA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720f4c-acca-4601-8f51-f20c6da27acc"/>
    <ds:schemaRef ds:uri="6797baab-81cd-42d0-b465-8e221cdf18ba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McGuinness</dc:creator>
  <cp:keywords/>
  <dc:description/>
  <cp:lastModifiedBy>Rachael McGuinness</cp:lastModifiedBy>
  <cp:revision>24</cp:revision>
  <dcterms:created xsi:type="dcterms:W3CDTF">2021-06-14T10:16:00Z</dcterms:created>
  <dcterms:modified xsi:type="dcterms:W3CDTF">2021-06-14T16:04:00Z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0x01010072DBC20636C8D7409F7A85A6F492E23A</vt:lpwstr>
  </property>
</Properties>
</file>